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ФГБУК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Кремлевский оркестр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набор артистов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симфонический и духовой составы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следующим специальностям: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0"/>
        <w:numPr>
          <w:ilvl w:val="0"/>
          <w:numId w:val="2"/>
        </w:num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b/>
          <w:bCs/>
        </w:rPr>
        <w:t xml:space="preserve">симфонический состав</w:t>
      </w:r>
      <w:r>
        <w:rPr>
          <w:rFonts w:ascii="Times New Roman" w:hAnsi="Times New Roman" w:cs="Times New Roman"/>
        </w:rPr>
        <w:t xml:space="preserve"> оркестра: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0"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скрипка, альт, </w:t>
      </w:r>
      <w:r>
        <w:rPr>
          <w:rFonts w:ascii="Times New Roman" w:hAnsi="Times New Roman" w:cs="Times New Roman"/>
        </w:rPr>
        <w:t xml:space="preserve">виолончель, </w:t>
      </w:r>
      <w:r>
        <w:rPr>
          <w:rFonts w:ascii="Times New Roman" w:hAnsi="Times New Roman" w:cs="Times New Roman"/>
        </w:rPr>
        <w:t xml:space="preserve">контрабас, флейт</w:t>
      </w:r>
      <w:r>
        <w:rPr>
          <w:rFonts w:ascii="Times New Roman" w:hAnsi="Times New Roman" w:cs="Times New Roman"/>
          <w:lang w:val="en-US"/>
        </w:rPr>
        <w:t xml:space="preserve"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кларнет, бас-кларнет, гобой, английский рожок, фагот, контрафагот, валторна, труба, тромбон, ударные инструменты.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0"/>
        <w:numPr>
          <w:ilvl w:val="0"/>
          <w:numId w:val="3"/>
        </w:num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b/>
          <w:bCs/>
        </w:rPr>
        <w:t xml:space="preserve">духовой состав</w:t>
      </w:r>
      <w:r>
        <w:rPr>
          <w:rFonts w:ascii="Times New Roman" w:hAnsi="Times New Roman" w:cs="Times New Roman"/>
        </w:rPr>
        <w:t xml:space="preserve"> оркестра: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флейта, </w:t>
      </w:r>
      <w:r>
        <w:rPr>
          <w:rFonts w:ascii="Times New Roman" w:hAnsi="Times New Roman" w:cs="Times New Roman"/>
        </w:rPr>
        <w:t xml:space="preserve">гобой, английский рожок, кларнет, бас-кларнет, фагот</w:t>
      </w:r>
      <w:r>
        <w:rPr>
          <w:rFonts w:ascii="Times New Roman" w:hAnsi="Times New Roman" w:cs="Times New Roman"/>
        </w:rPr>
        <w:t xml:space="preserve">, саксофон</w:t>
      </w:r>
      <w:r>
        <w:rPr>
          <w:rFonts w:ascii="Times New Roman" w:hAnsi="Times New Roman" w:cs="Times New Roman"/>
        </w:rPr>
        <w:t xml:space="preserve">-тенор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валторна, </w:t>
      </w:r>
      <w:r>
        <w:rPr>
          <w:rFonts w:ascii="Times New Roman" w:hAnsi="Times New Roman" w:cs="Times New Roman"/>
        </w:rPr>
        <w:t xml:space="preserve">корнет, </w:t>
      </w:r>
      <w:r>
        <w:rPr>
          <w:rFonts w:ascii="Times New Roman" w:hAnsi="Times New Roman" w:cs="Times New Roman"/>
        </w:rPr>
        <w:t xml:space="preserve">труба, тромбон, </w:t>
      </w:r>
      <w:r>
        <w:rPr>
          <w:rFonts w:ascii="Times New Roman" w:hAnsi="Times New Roman" w:cs="Times New Roman"/>
        </w:rPr>
        <w:t xml:space="preserve">баритон, </w:t>
      </w:r>
      <w:r>
        <w:rPr>
          <w:rFonts w:ascii="Times New Roman" w:hAnsi="Times New Roman" w:cs="Times New Roman"/>
        </w:rPr>
        <w:t xml:space="preserve">туба, ударные инструменты.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/>
        <w:ind w:firstLine="720"/>
        <w:contextualSpacing w:val="false"/>
        <w:jc w:val="left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</w:rPr>
        <w:t xml:space="preserve">Набор в оркестр осуществляется в </w:t>
      </w:r>
      <w:r>
        <w:rPr>
          <w:rFonts w:ascii="Times New Roman" w:hAnsi="Times New Roman" w:cs="Times New Roman"/>
          <w:b/>
          <w:bCs/>
        </w:rPr>
        <w:t xml:space="preserve">два </w:t>
      </w:r>
      <w:r>
        <w:rPr>
          <w:rFonts w:ascii="Times New Roman" w:hAnsi="Times New Roman" w:cs="Times New Roman"/>
          <w:b/>
          <w:bCs/>
        </w:rPr>
        <w:t xml:space="preserve">этапа: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Style w:val="850"/>
        <w:numPr>
          <w:ilvl w:val="0"/>
          <w:numId w:val="1"/>
        </w:num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Предварительные прослушивания.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0"/>
        <w:numPr>
          <w:ilvl w:val="0"/>
          <w:numId w:val="1"/>
        </w:num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на </w:t>
      </w:r>
      <w:r>
        <w:rPr>
          <w:rFonts w:ascii="Times New Roman" w:hAnsi="Times New Roman" w:cs="Times New Roman"/>
        </w:rPr>
        <w:t xml:space="preserve">замещение вакантных должностей.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0"/>
        <w:pBdr/>
        <w:spacing/>
        <w:ind w:firstLine="708" w:left="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</w:rPr>
        <w:t xml:space="preserve">К </w:t>
      </w:r>
      <w:r>
        <w:rPr>
          <w:rFonts w:ascii="Times New Roman" w:hAnsi="Times New Roman" w:cs="Times New Roman"/>
          <w:b/>
          <w:bCs/>
        </w:rPr>
        <w:t xml:space="preserve">участию в </w:t>
      </w:r>
      <w:r>
        <w:rPr>
          <w:rFonts w:ascii="Times New Roman" w:hAnsi="Times New Roman" w:cs="Times New Roman"/>
          <w:b/>
          <w:bCs/>
        </w:rPr>
        <w:t xml:space="preserve">конкурс</w:t>
      </w:r>
      <w:r>
        <w:rPr>
          <w:rFonts w:ascii="Times New Roman" w:hAnsi="Times New Roman" w:cs="Times New Roman"/>
          <w:b/>
          <w:bCs/>
        </w:rPr>
        <w:t xml:space="preserve">е на замещение вакантных должностей </w:t>
      </w:r>
      <w:r>
        <w:rPr>
          <w:rFonts w:ascii="Times New Roman" w:hAnsi="Times New Roman" w:cs="Times New Roman"/>
          <w:b/>
          <w:bCs/>
        </w:rPr>
        <w:t xml:space="preserve">допускаются</w:t>
      </w:r>
      <w:r>
        <w:rPr>
          <w:rFonts w:ascii="Times New Roman" w:hAnsi="Times New Roman" w:cs="Times New Roman"/>
          <w:b/>
          <w:bCs/>
        </w:rPr>
        <w:t xml:space="preserve"> кандидаты только</w:t>
      </w:r>
      <w:r>
        <w:rPr>
          <w:rFonts w:ascii="Times New Roman" w:hAnsi="Times New Roman" w:cs="Times New Roman"/>
          <w:b/>
          <w:bCs/>
        </w:rPr>
        <w:t xml:space="preserve"> в случае успешного прохождения предварительных прослушиваний.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Style w:val="850"/>
        <w:pBdr/>
        <w:spacing/>
        <w:ind w:firstLine="708" w:left="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Bdr/>
        <w:spacing w:after="79" w:afterAutospacing="0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Для участия в прослушиваниях необходимо заполнить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заявку </w:t>
      </w:r>
      <w:r>
        <w:rPr>
          <w:rFonts w:ascii="Times New Roman" w:hAnsi="Times New Roman" w:cs="Times New Roman"/>
        </w:rPr>
        <w:t xml:space="preserve">на участие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согласие</w:t>
      </w:r>
      <w:r>
        <w:rPr>
          <w:rFonts w:ascii="Times New Roman" w:hAnsi="Times New Roman" w:cs="Times New Roman"/>
        </w:rPr>
        <w:t xml:space="preserve"> на обработку персональных данных.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Bdr/>
        <w:spacing w:after="79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Заявки принимаются с</w:t>
      </w:r>
      <w:r>
        <w:rPr>
          <w:rFonts w:ascii="Times New Roman" w:hAnsi="Times New Roman" w:cs="Times New Roman"/>
          <w:b/>
          <w:bCs/>
        </w:rPr>
        <w:t xml:space="preserve"> 15 октября по 15 ноября 2024 года</w:t>
      </w:r>
      <w:r>
        <w:rPr>
          <w:rFonts w:ascii="Times New Roman" w:hAnsi="Times New Roman" w:cs="Times New Roman"/>
        </w:rPr>
        <w:t xml:space="preserve"> включительно. График прослушиваний будет опубликован на официальном сайте ФГБУК «Государственный Кремлёвский оркестр»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hyperlink r:id="rId9" w:tooltip="https://kremlinorchestra.ru/" w:history="1">
        <w:r>
          <w:rPr>
            <w:rStyle w:val="851"/>
            <w:rFonts w:ascii="Times New Roman" w:hAnsi="Times New Roman" w:cs="Times New Roman"/>
            <w:sz w:val="24"/>
            <w:szCs w:val="24"/>
          </w:rPr>
          <w:t xml:space="preserve">https://kremlinorchestra.ru/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</w:rPr>
        <w:t xml:space="preserve"> не позднее 1 декабря 2024 года. Даты конкурса на замещение вакантных должностей буду</w:t>
      </w:r>
      <w:r>
        <w:rPr>
          <w:rFonts w:ascii="Times New Roman" w:hAnsi="Times New Roman" w:cs="Times New Roman"/>
        </w:rPr>
        <w:t xml:space="preserve">т объявлены дополнительно после завершения предварительных прослушиваний.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79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  <w:t xml:space="preserve">Заявка заполняется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. Заполнение всех полей заявки является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заявке должно быть прикреплено одно цветное фото в цифровом формате.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79" w:afterAutospacing="0"/>
        <w:ind w:firstLine="708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</w:rPr>
        <w:t xml:space="preserve">Заявки на участие в предварительных прослушиваниях принимаются</w:t>
      </w:r>
      <w:r>
        <w:rPr>
          <w:rFonts w:ascii="Times New Roman" w:hAnsi="Times New Roman" w:cs="Times New Roman"/>
          <w:b/>
          <w:bCs/>
        </w:rPr>
        <w:t xml:space="preserve">: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Bdr/>
        <w:spacing w:after="79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  <w:bCs/>
        </w:rPr>
        <w:t xml:space="preserve">в электронном виде</w:t>
      </w:r>
      <w:r>
        <w:rPr>
          <w:rFonts w:ascii="Times New Roman" w:hAnsi="Times New Roman" w:cs="Times New Roman"/>
        </w:rPr>
        <w:t xml:space="preserve"> путем заполнения размещенной по ссылке формы (</w:t>
      </w:r>
      <w:r>
        <w:rPr>
          <w:rFonts w:ascii="Times New Roman" w:hAnsi="Times New Roman" w:cs="Times New Roman"/>
        </w:rPr>
      </w:r>
      <w:hyperlink r:id="rId10" w:tooltip="https://forms.yandex.ru/u/670d27a284227ca3860a8d5f/" w:history="1">
        <w:r>
          <w:rPr>
            <w:rStyle w:val="851"/>
            <w:rFonts w:ascii="Times New Roman" w:hAnsi="Times New Roman" w:cs="Times New Roman"/>
          </w:rPr>
          <w:t xml:space="preserve">https://forms.yandex.ru/u/670d27a284227ca3860a8d5f/</w:t>
        </w:r>
        <w:r>
          <w:rPr>
            <w:rStyle w:val="851"/>
            <w:rFonts w:ascii="Times New Roman" w:hAnsi="Times New Roman" w:cs="Times New Roman"/>
          </w:rPr>
        </w:r>
        <w:r>
          <w:rPr>
            <w:rStyle w:val="851"/>
            <w:rFonts w:ascii="Times New Roman" w:hAnsi="Times New Roman" w:cs="Times New Roman"/>
          </w:rPr>
        </w:r>
        <w:r>
          <w:rPr>
            <w:rStyle w:val="851"/>
            <w:rFonts w:ascii="Times New Roman" w:hAnsi="Times New Roman" w:cs="Times New Roman"/>
          </w:rPr>
        </w:r>
      </w:hyperlink>
      <w:r>
        <w:rPr>
          <w:rFonts w:ascii="Times New Roman" w:hAnsi="Times New Roman" w:cs="Times New Roman"/>
        </w:rPr>
        <w:t xml:space="preserve">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79" w:afterAutospacing="0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</w:rPr>
        <w:t xml:space="preserve">— в электронном виде путем заполнения документа </w:t>
      </w:r>
      <w:r>
        <w:rPr>
          <w:rFonts w:ascii="Times New Roman" w:hAnsi="Times New Roman" w:cs="Times New Roman"/>
          <w:sz w:val="24"/>
          <w:szCs w:val="24"/>
        </w:rPr>
        <w:t xml:space="preserve">«Заявка на участие в прослушивании в «Государственный Кремлевский оркестр» машинным способом (на компьютере)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размещенной на сайте Государственного Кремлевского оркестра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hyperlink r:id="rId11" w:tooltip="https://kremlinorchestra.ru/" w:history="1">
        <w:r>
          <w:rPr>
            <w:rStyle w:val="851"/>
            <w:rFonts w:ascii="Times New Roman" w:hAnsi="Times New Roman" w:cs="Times New Roman"/>
            <w:sz w:val="24"/>
            <w:szCs w:val="24"/>
          </w:rPr>
          <w:t xml:space="preserve">https://kremlinorchestra.ru/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направить на электронный адрес </w:t>
      </w:r>
      <w:hyperlink r:id="rId12" w:tooltip="mailto:konkurs@kremlinorchestra.ru" w:history="1">
        <w:r>
          <w:rPr>
            <w:rStyle w:val="851"/>
            <w:rFonts w:ascii="Times New Roman" w:hAnsi="Times New Roman" w:cs="Times New Roman"/>
            <w:sz w:val="23"/>
            <w:szCs w:val="23"/>
            <w:shd w:val="clear" w:color="auto" w:fill="ffffff"/>
          </w:rPr>
          <w:t xml:space="preserve">konkurs@kremlinorchestra.ru</w:t>
        </w:r>
        <w:r>
          <w:rPr>
            <w:rFonts w:ascii="Times New Roman" w:hAnsi="Times New Roman" w:cs="Times New Roman"/>
            <w:sz w:val="24"/>
            <w:szCs w:val="24"/>
          </w:rPr>
          <w:t xml:space="preserve">. Согласие на обработку персональных данных в таком случае заполняется «от руки» и направляется вместе с заполненным документом на электронную почту.</w:t>
        </w:r>
        <w:r>
          <w:rPr>
            <w:rStyle w:val="851"/>
            <w:rFonts w:ascii="Times New Roman" w:hAnsi="Times New Roman" w:cs="Times New Roman"/>
            <w:sz w:val="23"/>
            <w:szCs w:val="23"/>
            <w:shd w:val="clear" w:color="auto" w:fill="ffffff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Bdr/>
        <w:spacing w:after="79" w:afterAutospacing="0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случае технической невозможности электронного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в порядке исключения</w:t>
      </w:r>
      <w:r>
        <w:rPr>
          <w:rFonts w:ascii="Times New Roman" w:hAnsi="Times New Roman" w:cs="Times New Roman"/>
          <w:sz w:val="24"/>
          <w:szCs w:val="24"/>
        </w:rPr>
        <w:t xml:space="preserve"> заявка может быть заполнена «от руки», отсканирована  и направлена на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mailto:konkurs@kremlinorchestra.ru" w:history="1">
        <w:r>
          <w:rPr>
            <w:rStyle w:val="851"/>
            <w:rFonts w:ascii="Times New Roman" w:hAnsi="Times New Roman" w:cs="Times New Roman"/>
            <w:sz w:val="23"/>
            <w:szCs w:val="23"/>
            <w:shd w:val="clear" w:color="auto" w:fill="ffffff"/>
          </w:rPr>
          <w:t xml:space="preserve">konkurs@kremlinorchestra.ru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</w:rPr>
        <w:t xml:space="preserve">передана в </w:t>
      </w:r>
      <w:r>
        <w:rPr>
          <w:rFonts w:ascii="Times New Roman" w:hAnsi="Times New Roman" w:cs="Times New Roman"/>
        </w:rPr>
        <w:t xml:space="preserve">офис ФГБУК «Государственный Кремлевский оркестр» в </w:t>
      </w:r>
      <w:r>
        <w:rPr>
          <w:rFonts w:ascii="Times New Roman" w:hAnsi="Times New Roman" w:cs="Times New Roman"/>
        </w:rPr>
        <w:t xml:space="preserve">предварительно согласованные дату и </w:t>
      </w:r>
      <w:r>
        <w:rPr>
          <w:rFonts w:ascii="Times New Roman" w:hAnsi="Times New Roman" w:cs="Times New Roman"/>
        </w:rPr>
        <w:t xml:space="preserve">время по</w:t>
      </w:r>
      <w:r>
        <w:rPr>
          <w:rFonts w:ascii="Times New Roman" w:hAnsi="Times New Roman" w:cs="Times New Roman"/>
        </w:rPr>
        <w:t xml:space="preserve"> адресу: Москва, ул. Никитская Малая, д. 24, стр. 1 в рабочие дни</w:t>
      </w:r>
      <w:r>
        <w:rPr>
          <w:rFonts w:ascii="Times New Roman" w:hAnsi="Times New Roman" w:cs="Times New Roman"/>
        </w:rPr>
        <w:t xml:space="preserve"> с 10:00 до 17:00.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Bdr/>
        <w:spacing w:after="79" w:afterAutospacing="0"/>
        <w:ind w:firstLine="708"/>
        <w:jc w:val="both"/>
        <w:rPr/>
      </w:pPr>
      <w:r>
        <w:rPr>
          <w:rFonts w:ascii="Times New Roman" w:hAnsi="Times New Roman" w:cs="Times New Roman"/>
          <w:highlight w:val="none"/>
        </w:rPr>
        <w:t xml:space="preserve">Список музыкальных </w:t>
      </w:r>
      <w:r>
        <w:rPr>
          <w:rFonts w:ascii="Times New Roman" w:hAnsi="Times New Roman" w:cs="Times New Roman"/>
          <w:highlight w:val="none"/>
        </w:rPr>
        <w:t xml:space="preserve">произведений </w:t>
      </w:r>
      <w:r>
        <w:rPr>
          <w:rFonts w:ascii="Times New Roman" w:hAnsi="Times New Roman" w:cs="Times New Roman"/>
          <w:highlight w:val="none"/>
        </w:rPr>
        <w:t xml:space="preserve">для предварительного прослушивания кандидатов для участия в конкурсе находится в прикрепленном файле «Список музыкальных произведений». </w:t>
      </w:r>
      <w:r>
        <w:rPr>
          <w:rFonts w:ascii="Times New Roman" w:hAnsi="Times New Roman" w:cs="Times New Roman"/>
          <w:b/>
          <w:bCs/>
          <w:highlight w:val="none"/>
        </w:rPr>
        <w:t xml:space="preserve">Оркестр не предоставляет концертмейстера</w:t>
      </w:r>
      <w:r>
        <w:rPr>
          <w:rFonts w:ascii="Times New Roman" w:hAnsi="Times New Roman" w:cs="Times New Roman"/>
          <w:highlight w:val="none"/>
        </w:rPr>
        <w:t xml:space="preserve"> для аккомпанемента исполняемых произведений.</w:t>
      </w:r>
      <w:r>
        <w:rPr>
          <w:rFonts w:ascii="Times New Roman" w:hAnsi="Times New Roman" w:cs="Times New Roman"/>
          <w:highlight w:val="none"/>
        </w:rPr>
      </w:r>
      <w:r/>
    </w:p>
    <w:p>
      <w:pPr>
        <w:suppressLineNumbers w:val="false"/>
        <w:pBdr/>
        <w:spacing w:after="79" w:afterAutospacing="0"/>
        <w:ind w:firstLine="720"/>
        <w:contextualSpacing w:val="false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Дополнительная информация</w:t>
      </w:r>
      <w:r>
        <w:rPr>
          <w:rFonts w:ascii="Times New Roman" w:hAnsi="Times New Roman" w:cs="Times New Roman"/>
          <w:b/>
          <w:bCs/>
        </w:rPr>
        <w:t xml:space="preserve">: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79" w:afterAutospacing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электронной почте: </w:t>
      </w:r>
      <w:hyperlink r:id="rId14" w:tooltip="mailto:konkurs@kremlinorchestra.ru" w:history="1">
        <w:r>
          <w:rPr>
            <w:rStyle w:val="851"/>
            <w:rFonts w:ascii="Times New Roman" w:hAnsi="Times New Roman" w:cs="Times New Roman"/>
            <w:sz w:val="23"/>
            <w:szCs w:val="23"/>
            <w:shd w:val="clear" w:color="auto" w:fill="ffffff"/>
          </w:rPr>
          <w:t xml:space="preserve">konkurs@kremlinorchestra.ru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79" w:afterAutospacing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телефону:</w:t>
      </w:r>
      <w:r>
        <w:rPr>
          <w:rFonts w:ascii="Times New Roman" w:hAnsi="Times New Roman" w:cs="Times New Roman"/>
        </w:rPr>
        <w:t xml:space="preserve"> +8</w:t>
      </w:r>
      <w:r>
        <w:rPr>
          <w:rFonts w:ascii="Times New Roman" w:hAnsi="Times New Roman" w:cs="Times New Roman"/>
        </w:rPr>
        <w:t xml:space="preserve"> 977 968 21 74 (секретарь Конкурсной комиссии доступен с 10.00 до 17.00)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Предварительные прослушивания </w:t>
      </w:r>
      <w:r>
        <w:rPr>
          <w:rFonts w:ascii="Times New Roman" w:hAnsi="Times New Roman" w:cs="Times New Roman"/>
        </w:rPr>
        <w:t xml:space="preserve">будут проходить</w:t>
      </w:r>
      <w:r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г. Москва, ул. Малая Никитская, д. 24, стр. 1. (</w:t>
      </w:r>
      <w:hyperlink r:id="rId15" w:tooltip="https://yandex.ru/profile/-/CDXrAA9a" w:history="1">
        <w:r>
          <w:rPr>
            <w:rStyle w:val="851"/>
            <w:rFonts w:ascii="Times New Roman" w:hAnsi="Times New Roman" w:cs="Times New Roman"/>
            <w:highlight w:val="none"/>
          </w:rPr>
          <w:t xml:space="preserve">https://yandex.ru/profile/-/CDXrAA9a</w:t>
        </w:r>
        <w:r>
          <w:rPr>
            <w:rStyle w:val="851"/>
            <w:rFonts w:ascii="Times New Roman" w:hAnsi="Times New Roman" w:cs="Times New Roman"/>
            <w:highlight w:val="none"/>
          </w:rPr>
        </w:r>
        <w:r>
          <w:rPr>
            <w:rStyle w:val="851"/>
            <w:rFonts w:ascii="Times New Roman" w:hAnsi="Times New Roman" w:cs="Times New Roman"/>
            <w:highlight w:val="none"/>
          </w:rPr>
        </w:r>
      </w:hyperlink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h="16838" w:orient="portrait" w:w="11906"/>
      <w:pgMar w:top="646" w:right="566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>
    <w:name w:val="Table Grid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Table Grid Light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1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2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1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2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3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5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6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8">
    <w:name w:val="Heading 1"/>
    <w:basedOn w:val="846"/>
    <w:next w:val="846"/>
    <w:link w:val="80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9">
    <w:name w:val="Heading 2"/>
    <w:basedOn w:val="846"/>
    <w:next w:val="846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0">
    <w:name w:val="Heading 3"/>
    <w:basedOn w:val="846"/>
    <w:next w:val="846"/>
    <w:link w:val="80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1">
    <w:name w:val="Heading 4"/>
    <w:basedOn w:val="846"/>
    <w:next w:val="846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2">
    <w:name w:val="Heading 5"/>
    <w:basedOn w:val="846"/>
    <w:next w:val="846"/>
    <w:link w:val="81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3">
    <w:name w:val="Heading 6"/>
    <w:basedOn w:val="846"/>
    <w:next w:val="846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4">
    <w:name w:val="Heading 7"/>
    <w:basedOn w:val="846"/>
    <w:next w:val="846"/>
    <w:link w:val="81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5">
    <w:name w:val="Heading 8"/>
    <w:basedOn w:val="846"/>
    <w:next w:val="846"/>
    <w:link w:val="81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6">
    <w:name w:val="Heading 9"/>
    <w:basedOn w:val="846"/>
    <w:next w:val="846"/>
    <w:link w:val="81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7">
    <w:name w:val="Heading 1 Char"/>
    <w:basedOn w:val="847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8">
    <w:name w:val="Heading 2 Char"/>
    <w:basedOn w:val="847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9">
    <w:name w:val="Heading 3 Char"/>
    <w:basedOn w:val="847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0">
    <w:name w:val="Heading 4 Char"/>
    <w:basedOn w:val="847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1">
    <w:name w:val="Heading 5 Char"/>
    <w:basedOn w:val="847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2">
    <w:name w:val="Heading 6 Char"/>
    <w:basedOn w:val="847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3">
    <w:name w:val="Heading 7 Char"/>
    <w:basedOn w:val="847"/>
    <w:link w:val="80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4">
    <w:name w:val="Heading 8 Char"/>
    <w:basedOn w:val="847"/>
    <w:link w:val="8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5">
    <w:name w:val="Heading 9 Char"/>
    <w:basedOn w:val="847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6">
    <w:name w:val="Title"/>
    <w:basedOn w:val="846"/>
    <w:next w:val="846"/>
    <w:link w:val="81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7">
    <w:name w:val="Title Char"/>
    <w:basedOn w:val="847"/>
    <w:link w:val="81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8">
    <w:name w:val="Subtitle"/>
    <w:basedOn w:val="846"/>
    <w:next w:val="846"/>
    <w:link w:val="81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9">
    <w:name w:val="Subtitle Char"/>
    <w:basedOn w:val="847"/>
    <w:link w:val="8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0">
    <w:name w:val="Quote"/>
    <w:basedOn w:val="846"/>
    <w:next w:val="846"/>
    <w:link w:val="82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1">
    <w:name w:val="Quote Char"/>
    <w:basedOn w:val="847"/>
    <w:link w:val="82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Intense Emphasis"/>
    <w:basedOn w:val="8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3">
    <w:name w:val="Intense Quote"/>
    <w:basedOn w:val="846"/>
    <w:next w:val="846"/>
    <w:link w:val="8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4">
    <w:name w:val="Intense Quote Char"/>
    <w:basedOn w:val="847"/>
    <w:link w:val="8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5">
    <w:name w:val="Intense Reference"/>
    <w:basedOn w:val="8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6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7">
    <w:name w:val="Subtle Emphasis"/>
    <w:basedOn w:val="8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8">
    <w:name w:val="Emphasis"/>
    <w:basedOn w:val="847"/>
    <w:uiPriority w:val="20"/>
    <w:qFormat/>
    <w:pPr>
      <w:pBdr/>
      <w:spacing/>
      <w:ind/>
    </w:pPr>
    <w:rPr>
      <w:i/>
      <w:iCs/>
    </w:rPr>
  </w:style>
  <w:style w:type="character" w:styleId="829">
    <w:name w:val="Strong"/>
    <w:basedOn w:val="847"/>
    <w:uiPriority w:val="22"/>
    <w:qFormat/>
    <w:pPr>
      <w:pBdr/>
      <w:spacing/>
      <w:ind/>
    </w:pPr>
    <w:rPr>
      <w:b/>
      <w:bCs/>
    </w:rPr>
  </w:style>
  <w:style w:type="character" w:styleId="830">
    <w:name w:val="Subtle Reference"/>
    <w:basedOn w:val="8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1">
    <w:name w:val="Book Title"/>
    <w:basedOn w:val="8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2">
    <w:name w:val="Header"/>
    <w:basedOn w:val="846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Header Char"/>
    <w:basedOn w:val="847"/>
    <w:link w:val="832"/>
    <w:uiPriority w:val="99"/>
    <w:pPr>
      <w:pBdr/>
      <w:spacing/>
      <w:ind/>
    </w:pPr>
  </w:style>
  <w:style w:type="paragraph" w:styleId="834">
    <w:name w:val="Footer"/>
    <w:basedOn w:val="846"/>
    <w:link w:val="8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5">
    <w:name w:val="Footer Char"/>
    <w:basedOn w:val="847"/>
    <w:link w:val="834"/>
    <w:uiPriority w:val="99"/>
    <w:pPr>
      <w:pBdr/>
      <w:spacing/>
      <w:ind/>
    </w:pPr>
  </w:style>
  <w:style w:type="paragraph" w:styleId="836">
    <w:name w:val="Caption"/>
    <w:basedOn w:val="846"/>
    <w:next w:val="8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7">
    <w:name w:val="footnote text"/>
    <w:basedOn w:val="846"/>
    <w:link w:val="8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8">
    <w:name w:val="Footnote Text Char"/>
    <w:basedOn w:val="847"/>
    <w:link w:val="837"/>
    <w:uiPriority w:val="99"/>
    <w:semiHidden/>
    <w:pPr>
      <w:pBdr/>
      <w:spacing/>
      <w:ind/>
    </w:pPr>
    <w:rPr>
      <w:sz w:val="20"/>
      <w:szCs w:val="20"/>
    </w:rPr>
  </w:style>
  <w:style w:type="character" w:styleId="839">
    <w:name w:val="foot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paragraph" w:styleId="840">
    <w:name w:val="endnote text"/>
    <w:basedOn w:val="846"/>
    <w:link w:val="8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1">
    <w:name w:val="Endnote Text Char"/>
    <w:basedOn w:val="847"/>
    <w:link w:val="840"/>
    <w:uiPriority w:val="99"/>
    <w:semiHidden/>
    <w:pPr>
      <w:pBdr/>
      <w:spacing/>
      <w:ind/>
    </w:pPr>
    <w:rPr>
      <w:sz w:val="20"/>
      <w:szCs w:val="20"/>
    </w:rPr>
  </w:style>
  <w:style w:type="character" w:styleId="842">
    <w:name w:val="end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character" w:styleId="843">
    <w:name w:val="FollowedHyperlink"/>
    <w:basedOn w:val="8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qFormat/>
    <w:pPr>
      <w:pBdr/>
      <w:spacing/>
      <w:ind/>
    </w:pPr>
  </w:style>
  <w:style w:type="character" w:styleId="847" w:default="1">
    <w:name w:val="Default Paragraph Font"/>
    <w:uiPriority w:val="1"/>
    <w:semiHidden/>
    <w:unhideWhenUsed/>
    <w:pPr>
      <w:pBdr/>
      <w:spacing/>
      <w:ind/>
    </w:pPr>
  </w:style>
  <w:style w:type="table" w:styleId="8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9" w:default="1">
    <w:name w:val="No List"/>
    <w:uiPriority w:val="99"/>
    <w:semiHidden/>
    <w:unhideWhenUsed/>
    <w:pPr>
      <w:pBdr/>
      <w:spacing/>
      <w:ind/>
    </w:pPr>
  </w:style>
  <w:style w:type="paragraph" w:styleId="850">
    <w:name w:val="List Paragraph"/>
    <w:basedOn w:val="846"/>
    <w:uiPriority w:val="34"/>
    <w:qFormat/>
    <w:pPr>
      <w:pBdr/>
      <w:spacing/>
      <w:ind w:left="720"/>
      <w:contextualSpacing w:val="true"/>
    </w:pPr>
  </w:style>
  <w:style w:type="character" w:styleId="851">
    <w:name w:val="Hyperlink"/>
    <w:basedOn w:val="847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remlinorchestra.ru/" TargetMode="External"/><Relationship Id="rId10" Type="http://schemas.openxmlformats.org/officeDocument/2006/relationships/hyperlink" Target="https://forms.yandex.ru/u/670d27a284227ca3860a8d5f/" TargetMode="External"/><Relationship Id="rId11" Type="http://schemas.openxmlformats.org/officeDocument/2006/relationships/hyperlink" Target="https://kremlinorchestra.ru/" TargetMode="External"/><Relationship Id="rId12" Type="http://schemas.openxmlformats.org/officeDocument/2006/relationships/hyperlink" Target="mailto:konkurs@kremlinorchestra.ru" TargetMode="External"/><Relationship Id="rId13" Type="http://schemas.openxmlformats.org/officeDocument/2006/relationships/hyperlink" Target="mailto:konkurs@kremlinorchestra.ru" TargetMode="External"/><Relationship Id="rId14" Type="http://schemas.openxmlformats.org/officeDocument/2006/relationships/hyperlink" Target="mailto:konkurs@kremlinorchestra.ru" TargetMode="External"/><Relationship Id="rId15" Type="http://schemas.openxmlformats.org/officeDocument/2006/relationships/hyperlink" Target="https://yandex.ru/profile/-/CDXrAA9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Разумовская</dc:creator>
  <cp:keywords/>
  <dc:description/>
  <cp:revision>9</cp:revision>
  <dcterms:created xsi:type="dcterms:W3CDTF">2024-10-10T17:51:00Z</dcterms:created>
  <dcterms:modified xsi:type="dcterms:W3CDTF">2024-10-15T09:52:49Z</dcterms:modified>
</cp:coreProperties>
</file>